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CDA" w:rsidRPr="00232BD3" w:rsidRDefault="00B64CDA" w:rsidP="00232BD3">
      <w:pPr>
        <w:spacing w:line="480" w:lineRule="auto"/>
        <w:jc w:val="center"/>
        <w:rPr>
          <w:rFonts w:ascii="Times New Roman" w:hAnsi="Times New Roman" w:cs="Times New Roman"/>
          <w:sz w:val="24"/>
          <w:szCs w:val="24"/>
        </w:rPr>
      </w:pPr>
      <w:r w:rsidRPr="00BB59A5">
        <w:rPr>
          <w:rFonts w:ascii="Times New Roman" w:hAnsi="Times New Roman" w:cs="Times New Roman"/>
          <w:sz w:val="24"/>
          <w:szCs w:val="24"/>
        </w:rPr>
        <w:t>Foreign Corrupt Practices Act</w:t>
      </w:r>
    </w:p>
    <w:p w:rsidR="00BB59A5" w:rsidRPr="003539B5" w:rsidRDefault="009B069F" w:rsidP="00B64CDA">
      <w:pPr>
        <w:spacing w:line="480" w:lineRule="auto"/>
        <w:jc w:val="center"/>
        <w:rPr>
          <w:rFonts w:ascii="Times New Roman" w:hAnsi="Times New Roman" w:cs="Times New Roman"/>
          <w:b/>
          <w:sz w:val="24"/>
          <w:szCs w:val="24"/>
        </w:rPr>
      </w:pPr>
      <w:r w:rsidRPr="003539B5">
        <w:rPr>
          <w:rFonts w:ascii="Times New Roman" w:hAnsi="Times New Roman" w:cs="Times New Roman"/>
          <w:b/>
          <w:sz w:val="24"/>
          <w:szCs w:val="24"/>
        </w:rPr>
        <w:t>Introduction</w:t>
      </w:r>
    </w:p>
    <w:p w:rsidR="00BB59A5" w:rsidRDefault="009B069F" w:rsidP="00B64CDA">
      <w:pPr>
        <w:spacing w:line="480" w:lineRule="auto"/>
        <w:ind w:firstLine="720"/>
        <w:rPr>
          <w:rFonts w:ascii="Times New Roman" w:hAnsi="Times New Roman" w:cs="Times New Roman"/>
          <w:sz w:val="24"/>
          <w:szCs w:val="24"/>
        </w:rPr>
      </w:pPr>
      <w:r w:rsidRPr="00BB59A5">
        <w:rPr>
          <w:rFonts w:ascii="Times New Roman" w:hAnsi="Times New Roman" w:cs="Times New Roman"/>
          <w:sz w:val="24"/>
          <w:szCs w:val="24"/>
        </w:rPr>
        <w:t>Foreign Corrupt Practices Act</w:t>
      </w:r>
      <w:r>
        <w:rPr>
          <w:rFonts w:ascii="Times New Roman" w:hAnsi="Times New Roman" w:cs="Times New Roman"/>
          <w:sz w:val="24"/>
          <w:szCs w:val="24"/>
        </w:rPr>
        <w:t xml:space="preserve"> (FCPA) is a law that was passed in the U.S purposely to prohibit individuals as well as firms from paying bribes to foreign officials. </w:t>
      </w:r>
      <w:r w:rsidR="003539B5">
        <w:rPr>
          <w:rFonts w:ascii="Times New Roman" w:hAnsi="Times New Roman" w:cs="Times New Roman"/>
          <w:sz w:val="24"/>
          <w:szCs w:val="24"/>
        </w:rPr>
        <w:t>FCPA entails two articles; records, books, a</w:t>
      </w:r>
      <w:r w:rsidR="0036352E">
        <w:rPr>
          <w:rFonts w:ascii="Times New Roman" w:hAnsi="Times New Roman" w:cs="Times New Roman"/>
          <w:sz w:val="24"/>
          <w:szCs w:val="24"/>
        </w:rPr>
        <w:t>nd internal control provisions</w:t>
      </w:r>
      <w:r w:rsidR="003539B5">
        <w:rPr>
          <w:rFonts w:ascii="Times New Roman" w:hAnsi="Times New Roman" w:cs="Times New Roman"/>
          <w:sz w:val="24"/>
          <w:szCs w:val="24"/>
        </w:rPr>
        <w:t xml:space="preserve"> and anti-bribery provisions. It is worth noting that FCPA can be applied anywhere leave alone in the U.S. It is in this discussion where we find why the law was vital, its contents, and a description of its success.   </w:t>
      </w:r>
    </w:p>
    <w:p w:rsidR="003539B5" w:rsidRDefault="009B069F" w:rsidP="00B64CDA">
      <w:pPr>
        <w:spacing w:line="480" w:lineRule="auto"/>
        <w:ind w:firstLine="720"/>
        <w:jc w:val="center"/>
        <w:rPr>
          <w:rFonts w:ascii="Times New Roman" w:hAnsi="Times New Roman" w:cs="Times New Roman"/>
          <w:b/>
          <w:sz w:val="24"/>
          <w:szCs w:val="24"/>
        </w:rPr>
      </w:pPr>
      <w:r w:rsidRPr="003539B5">
        <w:rPr>
          <w:rFonts w:ascii="Times New Roman" w:hAnsi="Times New Roman" w:cs="Times New Roman"/>
          <w:b/>
          <w:sz w:val="24"/>
          <w:szCs w:val="24"/>
        </w:rPr>
        <w:t>Why the law was needed</w:t>
      </w:r>
    </w:p>
    <w:p w:rsidR="0022159A" w:rsidRDefault="009B069F" w:rsidP="00B64C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significant reasons why FCPA was needed is </w:t>
      </w:r>
      <w:r w:rsidR="00EB5C83">
        <w:rPr>
          <w:rFonts w:ascii="Times New Roman" w:hAnsi="Times New Roman" w:cs="Times New Roman"/>
          <w:sz w:val="24"/>
          <w:szCs w:val="24"/>
        </w:rPr>
        <w:t>to foster openness to individuals and firms who rely on foreign trade to acquire goods.</w:t>
      </w:r>
      <w:r w:rsidR="007D5E71">
        <w:rPr>
          <w:rFonts w:ascii="Times New Roman" w:hAnsi="Times New Roman" w:cs="Times New Roman"/>
          <w:sz w:val="24"/>
          <w:szCs w:val="24"/>
        </w:rPr>
        <w:t xml:space="preserve"> According to the existing research, foreign trade is currently conducted more professionally a</w:t>
      </w:r>
      <w:r w:rsidR="0036352E">
        <w:rPr>
          <w:rFonts w:ascii="Times New Roman" w:hAnsi="Times New Roman" w:cs="Times New Roman"/>
          <w:sz w:val="24"/>
          <w:szCs w:val="24"/>
        </w:rPr>
        <w:t>s compared to the early years in</w:t>
      </w:r>
      <w:r w:rsidR="007D5E71">
        <w:rPr>
          <w:rFonts w:ascii="Times New Roman" w:hAnsi="Times New Roman" w:cs="Times New Roman"/>
          <w:sz w:val="24"/>
          <w:szCs w:val="24"/>
        </w:rPr>
        <w:t xml:space="preserve"> the 20</w:t>
      </w:r>
      <w:r w:rsidR="007D5E71" w:rsidRPr="007D5E71">
        <w:rPr>
          <w:rFonts w:ascii="Times New Roman" w:hAnsi="Times New Roman" w:cs="Times New Roman"/>
          <w:sz w:val="24"/>
          <w:szCs w:val="24"/>
          <w:vertAlign w:val="superscript"/>
        </w:rPr>
        <w:t>th</w:t>
      </w:r>
      <w:r w:rsidR="007D5E71">
        <w:rPr>
          <w:rFonts w:ascii="Times New Roman" w:hAnsi="Times New Roman" w:cs="Times New Roman"/>
          <w:sz w:val="24"/>
          <w:szCs w:val="24"/>
        </w:rPr>
        <w:t xml:space="preserve"> century</w:t>
      </w:r>
      <w:r w:rsidR="00AB114F">
        <w:rPr>
          <w:rFonts w:ascii="Times New Roman" w:hAnsi="Times New Roman" w:cs="Times New Roman"/>
          <w:sz w:val="24"/>
          <w:szCs w:val="24"/>
        </w:rPr>
        <w:t xml:space="preserve"> (</w:t>
      </w:r>
      <w:r w:rsidR="00AB114F">
        <w:rPr>
          <w:rFonts w:ascii="Times New Roman" w:hAnsi="Times New Roman" w:cs="Times New Roman"/>
          <w:color w:val="222222"/>
          <w:sz w:val="24"/>
          <w:szCs w:val="24"/>
          <w:shd w:val="clear" w:color="auto" w:fill="FFFFFF"/>
        </w:rPr>
        <w:t xml:space="preserve">Koehler, </w:t>
      </w:r>
      <w:r w:rsidR="00AB114F" w:rsidRPr="00AB114F">
        <w:rPr>
          <w:rFonts w:ascii="Times New Roman" w:hAnsi="Times New Roman" w:cs="Times New Roman"/>
          <w:color w:val="222222"/>
          <w:sz w:val="24"/>
          <w:szCs w:val="24"/>
          <w:shd w:val="clear" w:color="auto" w:fill="FFFFFF"/>
        </w:rPr>
        <w:t>2016)</w:t>
      </w:r>
      <w:r w:rsidR="007D5E71">
        <w:rPr>
          <w:rFonts w:ascii="Times New Roman" w:hAnsi="Times New Roman" w:cs="Times New Roman"/>
          <w:sz w:val="24"/>
          <w:szCs w:val="24"/>
        </w:rPr>
        <w:t xml:space="preserve">. Additionally, foreign exchange managers in the U.S saw it vital to put in place </w:t>
      </w:r>
      <w:r w:rsidR="0020218B">
        <w:rPr>
          <w:rFonts w:ascii="Times New Roman" w:hAnsi="Times New Roman" w:cs="Times New Roman"/>
          <w:sz w:val="24"/>
          <w:szCs w:val="24"/>
        </w:rPr>
        <w:t>FCPA since</w:t>
      </w:r>
      <w:r w:rsidR="007D5E71">
        <w:rPr>
          <w:rFonts w:ascii="Times New Roman" w:hAnsi="Times New Roman" w:cs="Times New Roman"/>
          <w:sz w:val="24"/>
          <w:szCs w:val="24"/>
        </w:rPr>
        <w:t xml:space="preserve"> there was a series </w:t>
      </w:r>
      <w:r w:rsidR="0020218B">
        <w:rPr>
          <w:rFonts w:ascii="Times New Roman" w:hAnsi="Times New Roman" w:cs="Times New Roman"/>
          <w:sz w:val="24"/>
          <w:szCs w:val="24"/>
        </w:rPr>
        <w:t xml:space="preserve">of bookkeeping malpractices that were not in </w:t>
      </w:r>
      <w:r w:rsidR="0036352E">
        <w:rPr>
          <w:rFonts w:ascii="Times New Roman" w:hAnsi="Times New Roman" w:cs="Times New Roman"/>
          <w:sz w:val="24"/>
          <w:szCs w:val="24"/>
        </w:rPr>
        <w:t xml:space="preserve">line </w:t>
      </w:r>
      <w:r w:rsidR="0020218B">
        <w:rPr>
          <w:rFonts w:ascii="Times New Roman" w:hAnsi="Times New Roman" w:cs="Times New Roman"/>
          <w:sz w:val="24"/>
          <w:szCs w:val="24"/>
        </w:rPr>
        <w:t>with the provisi</w:t>
      </w:r>
      <w:r>
        <w:rPr>
          <w:rFonts w:ascii="Times New Roman" w:hAnsi="Times New Roman" w:cs="Times New Roman"/>
          <w:sz w:val="24"/>
          <w:szCs w:val="24"/>
        </w:rPr>
        <w:t>ons of accounting transparency. Importantly, FCPA provided the laws that gover</w:t>
      </w:r>
      <w:r w:rsidR="0036352E">
        <w:rPr>
          <w:rFonts w:ascii="Times New Roman" w:hAnsi="Times New Roman" w:cs="Times New Roman"/>
          <w:sz w:val="24"/>
          <w:szCs w:val="24"/>
        </w:rPr>
        <w:t xml:space="preserve">ned parties </w:t>
      </w:r>
      <w:r>
        <w:rPr>
          <w:rFonts w:ascii="Times New Roman" w:hAnsi="Times New Roman" w:cs="Times New Roman"/>
          <w:sz w:val="24"/>
          <w:szCs w:val="24"/>
        </w:rPr>
        <w:t>who violated it globally</w:t>
      </w:r>
      <w:r w:rsidR="00AB114F">
        <w:rPr>
          <w:rFonts w:ascii="Times New Roman" w:hAnsi="Times New Roman" w:cs="Times New Roman"/>
          <w:sz w:val="24"/>
          <w:szCs w:val="24"/>
        </w:rPr>
        <w:t xml:space="preserve"> (</w:t>
      </w:r>
      <w:r w:rsidR="00AB114F">
        <w:rPr>
          <w:rFonts w:ascii="Times New Roman" w:hAnsi="Times New Roman" w:cs="Times New Roman"/>
          <w:color w:val="222222"/>
          <w:sz w:val="24"/>
          <w:szCs w:val="24"/>
          <w:shd w:val="clear" w:color="auto" w:fill="FFFFFF"/>
        </w:rPr>
        <w:t xml:space="preserve">Koehler, </w:t>
      </w:r>
      <w:r w:rsidR="00AB114F" w:rsidRPr="00AB114F">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00CE0673">
        <w:rPr>
          <w:rFonts w:ascii="Times New Roman" w:hAnsi="Times New Roman" w:cs="Times New Roman"/>
          <w:sz w:val="24"/>
          <w:szCs w:val="24"/>
        </w:rPr>
        <w:t xml:space="preserve"> It is worth noting that the law received considerable support from business owners because they could not transact smoothly due to bribery</w:t>
      </w:r>
      <w:r w:rsidR="0036352E">
        <w:rPr>
          <w:rFonts w:ascii="Times New Roman" w:hAnsi="Times New Roman" w:cs="Times New Roman"/>
          <w:sz w:val="24"/>
          <w:szCs w:val="24"/>
        </w:rPr>
        <w:t>-related</w:t>
      </w:r>
      <w:r w:rsidR="00CE0673">
        <w:rPr>
          <w:rFonts w:ascii="Times New Roman" w:hAnsi="Times New Roman" w:cs="Times New Roman"/>
          <w:sz w:val="24"/>
          <w:szCs w:val="24"/>
        </w:rPr>
        <w:t xml:space="preserve"> issues. </w:t>
      </w:r>
    </w:p>
    <w:p w:rsidR="003539B5" w:rsidRDefault="009B069F" w:rsidP="00B64CDA">
      <w:pPr>
        <w:spacing w:line="480" w:lineRule="auto"/>
        <w:ind w:firstLine="720"/>
        <w:jc w:val="center"/>
        <w:rPr>
          <w:rFonts w:ascii="Times New Roman" w:hAnsi="Times New Roman" w:cs="Times New Roman"/>
          <w:b/>
          <w:sz w:val="24"/>
          <w:szCs w:val="24"/>
        </w:rPr>
      </w:pPr>
      <w:r w:rsidRPr="00635356">
        <w:rPr>
          <w:rFonts w:ascii="Times New Roman" w:hAnsi="Times New Roman" w:cs="Times New Roman"/>
          <w:b/>
          <w:sz w:val="24"/>
          <w:szCs w:val="24"/>
        </w:rPr>
        <w:t xml:space="preserve">Contents of </w:t>
      </w:r>
      <w:r w:rsidR="00635356" w:rsidRPr="00635356">
        <w:rPr>
          <w:rFonts w:ascii="Times New Roman" w:hAnsi="Times New Roman" w:cs="Times New Roman"/>
          <w:b/>
          <w:sz w:val="24"/>
          <w:szCs w:val="24"/>
        </w:rPr>
        <w:t>the law</w:t>
      </w:r>
    </w:p>
    <w:p w:rsidR="00CE0673" w:rsidRDefault="009B069F" w:rsidP="00B64C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stated earlier, FCPA is composed of two articles; internal control provisions and anti-bribery and records, books, and internal control provisions. </w:t>
      </w:r>
      <w:r w:rsidR="00143963">
        <w:rPr>
          <w:rFonts w:ascii="Times New Roman" w:hAnsi="Times New Roman" w:cs="Times New Roman"/>
          <w:sz w:val="24"/>
          <w:szCs w:val="24"/>
        </w:rPr>
        <w:t xml:space="preserve">On their part, </w:t>
      </w:r>
      <w:r w:rsidR="006C5F1E">
        <w:rPr>
          <w:rFonts w:ascii="Times New Roman" w:hAnsi="Times New Roman" w:cs="Times New Roman"/>
          <w:sz w:val="24"/>
          <w:szCs w:val="24"/>
        </w:rPr>
        <w:t>anti-bribery provisions prohibit foreign officials</w:t>
      </w:r>
      <w:r w:rsidR="003E62F0">
        <w:rPr>
          <w:rFonts w:ascii="Times New Roman" w:hAnsi="Times New Roman" w:cs="Times New Roman"/>
          <w:sz w:val="24"/>
          <w:szCs w:val="24"/>
        </w:rPr>
        <w:t xml:space="preserve"> from abuse of power</w:t>
      </w:r>
      <w:r w:rsidR="00232BD3">
        <w:rPr>
          <w:rFonts w:ascii="Times New Roman" w:hAnsi="Times New Roman" w:cs="Times New Roman"/>
          <w:sz w:val="24"/>
          <w:szCs w:val="24"/>
        </w:rPr>
        <w:t xml:space="preserve"> </w:t>
      </w:r>
      <w:r w:rsidR="003E62F0">
        <w:rPr>
          <w:rFonts w:ascii="Times New Roman" w:hAnsi="Times New Roman" w:cs="Times New Roman"/>
          <w:sz w:val="24"/>
          <w:szCs w:val="24"/>
        </w:rPr>
        <w:t>and deter</w:t>
      </w:r>
      <w:r w:rsidR="006C5F1E">
        <w:rPr>
          <w:rFonts w:ascii="Times New Roman" w:hAnsi="Times New Roman" w:cs="Times New Roman"/>
          <w:sz w:val="24"/>
          <w:szCs w:val="24"/>
        </w:rPr>
        <w:t xml:space="preserve"> corruption worldwide</w:t>
      </w:r>
      <w:r w:rsidR="00AB114F">
        <w:rPr>
          <w:rFonts w:ascii="Times New Roman" w:hAnsi="Times New Roman" w:cs="Times New Roman"/>
          <w:sz w:val="24"/>
          <w:szCs w:val="24"/>
        </w:rPr>
        <w:t xml:space="preserve"> (</w:t>
      </w:r>
      <w:r w:rsidR="00AB114F">
        <w:rPr>
          <w:rFonts w:ascii="Times New Roman" w:hAnsi="Times New Roman" w:cs="Times New Roman"/>
          <w:color w:val="222222"/>
          <w:sz w:val="24"/>
          <w:szCs w:val="24"/>
          <w:shd w:val="clear" w:color="auto" w:fill="FFFFFF"/>
        </w:rPr>
        <w:t xml:space="preserve">Kohli, </w:t>
      </w:r>
      <w:r w:rsidR="00AB114F" w:rsidRPr="00AB114F">
        <w:rPr>
          <w:rFonts w:ascii="Times New Roman" w:hAnsi="Times New Roman" w:cs="Times New Roman"/>
          <w:color w:val="222222"/>
          <w:sz w:val="24"/>
          <w:szCs w:val="24"/>
          <w:shd w:val="clear" w:color="auto" w:fill="FFFFFF"/>
        </w:rPr>
        <w:t>2018)</w:t>
      </w:r>
      <w:r w:rsidR="006C5F1E">
        <w:rPr>
          <w:rFonts w:ascii="Times New Roman" w:hAnsi="Times New Roman" w:cs="Times New Roman"/>
          <w:sz w:val="24"/>
          <w:szCs w:val="24"/>
        </w:rPr>
        <w:t>.</w:t>
      </w:r>
      <w:r w:rsidR="003E62F0">
        <w:rPr>
          <w:rFonts w:ascii="Times New Roman" w:hAnsi="Times New Roman" w:cs="Times New Roman"/>
          <w:sz w:val="24"/>
          <w:szCs w:val="24"/>
        </w:rPr>
        <w:t xml:space="preserve"> Additionally, the provisions</w:t>
      </w:r>
      <w:r w:rsidR="006C5F1E">
        <w:rPr>
          <w:rFonts w:ascii="Times New Roman" w:hAnsi="Times New Roman" w:cs="Times New Roman"/>
          <w:sz w:val="24"/>
          <w:szCs w:val="24"/>
        </w:rPr>
        <w:t xml:space="preserve"> cover the actions conducted by public companies, their directors, </w:t>
      </w:r>
      <w:r w:rsidR="006C5F1E">
        <w:rPr>
          <w:rFonts w:ascii="Times New Roman" w:hAnsi="Times New Roman" w:cs="Times New Roman"/>
          <w:sz w:val="24"/>
          <w:szCs w:val="24"/>
        </w:rPr>
        <w:lastRenderedPageBreak/>
        <w:t>officers</w:t>
      </w:r>
      <w:r w:rsidR="00341F34">
        <w:rPr>
          <w:rFonts w:ascii="Times New Roman" w:hAnsi="Times New Roman" w:cs="Times New Roman"/>
          <w:sz w:val="24"/>
          <w:szCs w:val="24"/>
        </w:rPr>
        <w:t xml:space="preserve">, </w:t>
      </w:r>
      <w:r w:rsidR="006C5F1E">
        <w:rPr>
          <w:rFonts w:ascii="Times New Roman" w:hAnsi="Times New Roman" w:cs="Times New Roman"/>
          <w:sz w:val="24"/>
          <w:szCs w:val="24"/>
        </w:rPr>
        <w:t>employees, and agents.</w:t>
      </w:r>
      <w:r w:rsidR="00341F34">
        <w:rPr>
          <w:rFonts w:ascii="Times New Roman" w:hAnsi="Times New Roman" w:cs="Times New Roman"/>
          <w:sz w:val="24"/>
          <w:szCs w:val="24"/>
        </w:rPr>
        <w:t xml:space="preserve"> When it comes to the books and internal control provisions, foreign trade managers need to work based on the provisions of accounting transparency guidelines</w:t>
      </w:r>
      <w:r w:rsidR="00AB114F">
        <w:rPr>
          <w:rFonts w:ascii="Times New Roman" w:hAnsi="Times New Roman" w:cs="Times New Roman"/>
          <w:sz w:val="24"/>
          <w:szCs w:val="24"/>
        </w:rPr>
        <w:t xml:space="preserve"> (</w:t>
      </w:r>
      <w:r w:rsidR="00AB114F">
        <w:rPr>
          <w:rFonts w:ascii="Times New Roman" w:hAnsi="Times New Roman" w:cs="Times New Roman"/>
          <w:color w:val="222222"/>
          <w:sz w:val="24"/>
          <w:szCs w:val="24"/>
          <w:shd w:val="clear" w:color="auto" w:fill="FFFFFF"/>
        </w:rPr>
        <w:t xml:space="preserve">Kohli, </w:t>
      </w:r>
      <w:r w:rsidR="00AB114F" w:rsidRPr="00AB114F">
        <w:rPr>
          <w:rFonts w:ascii="Times New Roman" w:hAnsi="Times New Roman" w:cs="Times New Roman"/>
          <w:color w:val="222222"/>
          <w:sz w:val="24"/>
          <w:szCs w:val="24"/>
          <w:shd w:val="clear" w:color="auto" w:fill="FFFFFF"/>
        </w:rPr>
        <w:t>2018)</w:t>
      </w:r>
      <w:r w:rsidR="00341F34">
        <w:rPr>
          <w:rFonts w:ascii="Times New Roman" w:hAnsi="Times New Roman" w:cs="Times New Roman"/>
          <w:sz w:val="24"/>
          <w:szCs w:val="24"/>
        </w:rPr>
        <w:t xml:space="preserve">. Regulators track the company's adherence to the transparency guidelines with the help of the securities listing. Overly, the provisions aid not only the U.S but </w:t>
      </w:r>
      <w:r w:rsidR="003E62F0">
        <w:rPr>
          <w:rFonts w:ascii="Times New Roman" w:hAnsi="Times New Roman" w:cs="Times New Roman"/>
          <w:sz w:val="24"/>
          <w:szCs w:val="24"/>
        </w:rPr>
        <w:t xml:space="preserve">also </w:t>
      </w:r>
      <w:r w:rsidR="00341F34">
        <w:rPr>
          <w:rFonts w:ascii="Times New Roman" w:hAnsi="Times New Roman" w:cs="Times New Roman"/>
          <w:sz w:val="24"/>
          <w:szCs w:val="24"/>
        </w:rPr>
        <w:t xml:space="preserve">other countries to unmask the corrupted foreign transactions. </w:t>
      </w:r>
    </w:p>
    <w:p w:rsidR="00635356" w:rsidRDefault="009B069F" w:rsidP="00B64CDA">
      <w:pPr>
        <w:spacing w:line="480" w:lineRule="auto"/>
        <w:ind w:firstLine="720"/>
        <w:jc w:val="center"/>
        <w:rPr>
          <w:rFonts w:ascii="Times New Roman" w:hAnsi="Times New Roman" w:cs="Times New Roman"/>
          <w:b/>
          <w:sz w:val="24"/>
          <w:szCs w:val="24"/>
        </w:rPr>
      </w:pPr>
      <w:r w:rsidRPr="00CE0673">
        <w:rPr>
          <w:rFonts w:ascii="Times New Roman" w:hAnsi="Times New Roman" w:cs="Times New Roman"/>
          <w:b/>
          <w:sz w:val="24"/>
          <w:szCs w:val="24"/>
        </w:rPr>
        <w:t>Successfulness of the Law</w:t>
      </w:r>
    </w:p>
    <w:p w:rsidR="0036352E" w:rsidRDefault="008A3B95" w:rsidP="00B64CDA">
      <w:pPr>
        <w:spacing w:line="480" w:lineRule="auto"/>
        <w:ind w:firstLine="720"/>
        <w:rPr>
          <w:rFonts w:ascii="Times New Roman" w:hAnsi="Times New Roman" w:cs="Times New Roman"/>
          <w:sz w:val="24"/>
          <w:szCs w:val="24"/>
        </w:rPr>
      </w:pPr>
      <w:r>
        <w:rPr>
          <w:rFonts w:ascii="Times New Roman" w:hAnsi="Times New Roman" w:cs="Times New Roman"/>
          <w:sz w:val="24"/>
          <w:szCs w:val="24"/>
        </w:rPr>
        <w:t>FCPA has been much successful, especially when it comes to leveling the ground for conducting foreign business in not only the U.S but also other countries. Minimal instances of bribery evidenced globally are yet another indicator that the law has been successful</w:t>
      </w:r>
      <w:r w:rsidR="000176E8">
        <w:rPr>
          <w:rFonts w:ascii="Times New Roman" w:hAnsi="Times New Roman" w:cs="Times New Roman"/>
          <w:sz w:val="24"/>
          <w:szCs w:val="24"/>
        </w:rPr>
        <w:t xml:space="preserve"> where countries can transact devoid of much corruption barriers</w:t>
      </w:r>
      <w:r w:rsidR="00AB114F">
        <w:rPr>
          <w:rFonts w:ascii="Times New Roman" w:hAnsi="Times New Roman" w:cs="Times New Roman"/>
          <w:sz w:val="24"/>
          <w:szCs w:val="24"/>
        </w:rPr>
        <w:t xml:space="preserve"> (</w:t>
      </w:r>
      <w:r w:rsidR="00AB114F">
        <w:rPr>
          <w:rFonts w:ascii="Times New Roman" w:hAnsi="Times New Roman" w:cs="Times New Roman"/>
          <w:color w:val="222222"/>
          <w:sz w:val="24"/>
          <w:szCs w:val="24"/>
          <w:shd w:val="clear" w:color="auto" w:fill="FFFFFF"/>
        </w:rPr>
        <w:t xml:space="preserve">Kohli, </w:t>
      </w:r>
      <w:r w:rsidR="00AB114F" w:rsidRPr="00AB114F">
        <w:rPr>
          <w:rFonts w:ascii="Times New Roman" w:hAnsi="Times New Roman" w:cs="Times New Roman"/>
          <w:color w:val="222222"/>
          <w:sz w:val="24"/>
          <w:szCs w:val="24"/>
          <w:shd w:val="clear" w:color="auto" w:fill="FFFFFF"/>
        </w:rPr>
        <w:t>2018)</w:t>
      </w:r>
      <w:r w:rsidR="000176E8">
        <w:rPr>
          <w:rFonts w:ascii="Times New Roman" w:hAnsi="Times New Roman" w:cs="Times New Roman"/>
          <w:sz w:val="24"/>
          <w:szCs w:val="24"/>
        </w:rPr>
        <w:t>. It is evident that th</w:t>
      </w:r>
      <w:r w:rsidR="003F245D">
        <w:rPr>
          <w:rFonts w:ascii="Times New Roman" w:hAnsi="Times New Roman" w:cs="Times New Roman"/>
          <w:sz w:val="24"/>
          <w:szCs w:val="24"/>
        </w:rPr>
        <w:t>e FCPA has been successful</w:t>
      </w:r>
      <w:r w:rsidR="006D2ACF">
        <w:rPr>
          <w:rFonts w:ascii="Times New Roman" w:hAnsi="Times New Roman" w:cs="Times New Roman"/>
          <w:sz w:val="24"/>
          <w:szCs w:val="24"/>
        </w:rPr>
        <w:t xml:space="preserve"> due to the activeness </w:t>
      </w:r>
      <w:r w:rsidR="00952880">
        <w:rPr>
          <w:rFonts w:ascii="Times New Roman" w:hAnsi="Times New Roman" w:cs="Times New Roman"/>
          <w:sz w:val="24"/>
          <w:szCs w:val="24"/>
        </w:rPr>
        <w:t>of substantial penalties and sanctions</w:t>
      </w:r>
      <w:r w:rsidR="00AB114F">
        <w:rPr>
          <w:rFonts w:ascii="Times New Roman" w:hAnsi="Times New Roman" w:cs="Times New Roman"/>
          <w:sz w:val="24"/>
          <w:szCs w:val="24"/>
        </w:rPr>
        <w:t xml:space="preserve"> (</w:t>
      </w:r>
      <w:r w:rsidR="00AB114F">
        <w:rPr>
          <w:rFonts w:ascii="Times New Roman" w:hAnsi="Times New Roman" w:cs="Times New Roman"/>
          <w:color w:val="222222"/>
          <w:sz w:val="24"/>
          <w:szCs w:val="24"/>
          <w:shd w:val="clear" w:color="auto" w:fill="FFFFFF"/>
        </w:rPr>
        <w:t xml:space="preserve">Kohli, </w:t>
      </w:r>
      <w:r w:rsidR="00AB114F" w:rsidRPr="00AB114F">
        <w:rPr>
          <w:rFonts w:ascii="Times New Roman" w:hAnsi="Times New Roman" w:cs="Times New Roman"/>
          <w:color w:val="222222"/>
          <w:sz w:val="24"/>
          <w:szCs w:val="24"/>
          <w:shd w:val="clear" w:color="auto" w:fill="FFFFFF"/>
        </w:rPr>
        <w:t>2018)</w:t>
      </w:r>
      <w:r w:rsidR="00952880">
        <w:rPr>
          <w:rFonts w:ascii="Times New Roman" w:hAnsi="Times New Roman" w:cs="Times New Roman"/>
          <w:sz w:val="24"/>
          <w:szCs w:val="24"/>
        </w:rPr>
        <w:t>. For instance, Erickson, a company based in Stockholm, was forced to pay the penalty amounting to $1billion due to violation of FCPA provisions.</w:t>
      </w: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B64CDA" w:rsidRDefault="00B64CDA" w:rsidP="00B64CDA">
      <w:pPr>
        <w:spacing w:line="480" w:lineRule="auto"/>
        <w:ind w:firstLine="720"/>
        <w:jc w:val="center"/>
        <w:rPr>
          <w:rFonts w:ascii="Times New Roman" w:hAnsi="Times New Roman" w:cs="Times New Roman"/>
          <w:sz w:val="24"/>
          <w:szCs w:val="24"/>
        </w:rPr>
      </w:pPr>
    </w:p>
    <w:p w:rsidR="00CE0673" w:rsidRDefault="009B069F" w:rsidP="00B64CD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64CDA" w:rsidRDefault="009B069F" w:rsidP="00B64CDA">
      <w:pPr>
        <w:spacing w:line="480" w:lineRule="auto"/>
        <w:rPr>
          <w:rFonts w:ascii="Times New Roman" w:hAnsi="Times New Roman" w:cs="Times New Roman"/>
          <w:color w:val="222222"/>
          <w:sz w:val="24"/>
          <w:szCs w:val="24"/>
          <w:shd w:val="clear" w:color="auto" w:fill="FFFFFF"/>
        </w:rPr>
      </w:pPr>
      <w:r w:rsidRPr="00AB114F">
        <w:rPr>
          <w:rFonts w:ascii="Times New Roman" w:hAnsi="Times New Roman" w:cs="Times New Roman"/>
          <w:color w:val="222222"/>
          <w:sz w:val="24"/>
          <w:szCs w:val="24"/>
          <w:shd w:val="clear" w:color="auto" w:fill="FFFFFF"/>
        </w:rPr>
        <w:t>Koehler, M. (2016). A Snapshot of the Foreign Corrupt Practices Act. </w:t>
      </w:r>
      <w:r w:rsidRPr="00AB114F">
        <w:rPr>
          <w:rFonts w:ascii="Times New Roman" w:hAnsi="Times New Roman" w:cs="Times New Roman"/>
          <w:i/>
          <w:iCs/>
          <w:color w:val="222222"/>
          <w:sz w:val="24"/>
          <w:szCs w:val="24"/>
          <w:shd w:val="clear" w:color="auto" w:fill="FFFFFF"/>
        </w:rPr>
        <w:t>Santa Clara J. Int'l L.</w:t>
      </w:r>
      <w:r w:rsidRPr="00AB114F">
        <w:rPr>
          <w:rFonts w:ascii="Times New Roman" w:hAnsi="Times New Roman" w:cs="Times New Roman"/>
          <w:color w:val="222222"/>
          <w:sz w:val="24"/>
          <w:szCs w:val="24"/>
          <w:shd w:val="clear" w:color="auto" w:fill="FFFFFF"/>
        </w:rPr>
        <w:t>, </w:t>
      </w:r>
      <w:r w:rsidRPr="00AB114F">
        <w:rPr>
          <w:rFonts w:ascii="Times New Roman" w:hAnsi="Times New Roman" w:cs="Times New Roman"/>
          <w:i/>
          <w:iCs/>
          <w:color w:val="222222"/>
          <w:sz w:val="24"/>
          <w:szCs w:val="24"/>
          <w:shd w:val="clear" w:color="auto" w:fill="FFFFFF"/>
        </w:rPr>
        <w:t>14</w:t>
      </w:r>
      <w:r w:rsidRPr="00AB114F">
        <w:rPr>
          <w:rFonts w:ascii="Times New Roman" w:hAnsi="Times New Roman" w:cs="Times New Roman"/>
          <w:color w:val="222222"/>
          <w:sz w:val="24"/>
          <w:szCs w:val="24"/>
          <w:shd w:val="clear" w:color="auto" w:fill="FFFFFF"/>
        </w:rPr>
        <w:t xml:space="preserve">, </w:t>
      </w:r>
    </w:p>
    <w:p w:rsidR="0036352E" w:rsidRPr="00AB114F" w:rsidRDefault="009B069F" w:rsidP="00B64CDA">
      <w:pPr>
        <w:spacing w:line="480" w:lineRule="auto"/>
        <w:ind w:firstLine="720"/>
        <w:rPr>
          <w:rFonts w:ascii="Times New Roman" w:hAnsi="Times New Roman" w:cs="Times New Roman"/>
          <w:color w:val="222222"/>
          <w:sz w:val="24"/>
          <w:szCs w:val="24"/>
          <w:shd w:val="clear" w:color="auto" w:fill="FFFFFF"/>
        </w:rPr>
      </w:pPr>
      <w:bookmarkStart w:id="0" w:name="_GoBack"/>
      <w:bookmarkEnd w:id="0"/>
      <w:r w:rsidRPr="00AB114F">
        <w:rPr>
          <w:rFonts w:ascii="Times New Roman" w:hAnsi="Times New Roman" w:cs="Times New Roman"/>
          <w:color w:val="222222"/>
          <w:sz w:val="24"/>
          <w:szCs w:val="24"/>
          <w:shd w:val="clear" w:color="auto" w:fill="FFFFFF"/>
        </w:rPr>
        <w:t>143.</w:t>
      </w:r>
    </w:p>
    <w:p w:rsidR="00AB114F" w:rsidRPr="00AB114F" w:rsidRDefault="009B069F" w:rsidP="00B64CDA">
      <w:pPr>
        <w:spacing w:line="480" w:lineRule="auto"/>
        <w:rPr>
          <w:rFonts w:ascii="Times New Roman" w:hAnsi="Times New Roman" w:cs="Times New Roman"/>
          <w:sz w:val="24"/>
          <w:szCs w:val="24"/>
        </w:rPr>
      </w:pPr>
      <w:r w:rsidRPr="00AB114F">
        <w:rPr>
          <w:rFonts w:ascii="Times New Roman" w:hAnsi="Times New Roman" w:cs="Times New Roman"/>
          <w:color w:val="222222"/>
          <w:sz w:val="24"/>
          <w:szCs w:val="24"/>
          <w:shd w:val="clear" w:color="auto" w:fill="FFFFFF"/>
        </w:rPr>
        <w:t>Kohli, R. (2018). Foreign Corrupt Practices Act. </w:t>
      </w:r>
      <w:r w:rsidRPr="00AB114F">
        <w:rPr>
          <w:rFonts w:ascii="Times New Roman" w:hAnsi="Times New Roman" w:cs="Times New Roman"/>
          <w:i/>
          <w:iCs/>
          <w:color w:val="222222"/>
          <w:sz w:val="24"/>
          <w:szCs w:val="24"/>
          <w:shd w:val="clear" w:color="auto" w:fill="FFFFFF"/>
        </w:rPr>
        <w:t>Am. Crim. L. Rev.</w:t>
      </w:r>
      <w:r w:rsidRPr="00AB114F">
        <w:rPr>
          <w:rFonts w:ascii="Times New Roman" w:hAnsi="Times New Roman" w:cs="Times New Roman"/>
          <w:color w:val="222222"/>
          <w:sz w:val="24"/>
          <w:szCs w:val="24"/>
          <w:shd w:val="clear" w:color="auto" w:fill="FFFFFF"/>
        </w:rPr>
        <w:t>, </w:t>
      </w:r>
      <w:r w:rsidRPr="00AB114F">
        <w:rPr>
          <w:rFonts w:ascii="Times New Roman" w:hAnsi="Times New Roman" w:cs="Times New Roman"/>
          <w:i/>
          <w:iCs/>
          <w:color w:val="222222"/>
          <w:sz w:val="24"/>
          <w:szCs w:val="24"/>
          <w:shd w:val="clear" w:color="auto" w:fill="FFFFFF"/>
        </w:rPr>
        <w:t>55</w:t>
      </w:r>
      <w:r w:rsidRPr="00AB114F">
        <w:rPr>
          <w:rFonts w:ascii="Times New Roman" w:hAnsi="Times New Roman" w:cs="Times New Roman"/>
          <w:color w:val="222222"/>
          <w:sz w:val="24"/>
          <w:szCs w:val="24"/>
          <w:shd w:val="clear" w:color="auto" w:fill="FFFFFF"/>
        </w:rPr>
        <w:t>, 1269.</w:t>
      </w:r>
    </w:p>
    <w:p w:rsidR="00BB59A5" w:rsidRPr="00AB114F" w:rsidRDefault="00BB59A5" w:rsidP="00B64CDA">
      <w:pPr>
        <w:spacing w:line="480" w:lineRule="auto"/>
        <w:rPr>
          <w:rFonts w:ascii="Times New Roman" w:hAnsi="Times New Roman" w:cs="Times New Roman"/>
          <w:sz w:val="24"/>
          <w:szCs w:val="24"/>
        </w:rPr>
      </w:pPr>
    </w:p>
    <w:p w:rsidR="00DB5F9F" w:rsidRPr="00BB59A5" w:rsidRDefault="00DB5F9F" w:rsidP="00B64CDA">
      <w:pPr>
        <w:spacing w:line="480" w:lineRule="auto"/>
        <w:rPr>
          <w:rFonts w:ascii="Times New Roman" w:hAnsi="Times New Roman" w:cs="Times New Roman"/>
          <w:sz w:val="24"/>
          <w:szCs w:val="24"/>
        </w:rPr>
      </w:pPr>
    </w:p>
    <w:sectPr w:rsidR="00DB5F9F" w:rsidRPr="00BB59A5" w:rsidSect="00B64C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8CC" w:rsidRDefault="000768CC" w:rsidP="00B64CDA">
      <w:pPr>
        <w:spacing w:after="0" w:line="240" w:lineRule="auto"/>
      </w:pPr>
      <w:r>
        <w:separator/>
      </w:r>
    </w:p>
  </w:endnote>
  <w:endnote w:type="continuationSeparator" w:id="1">
    <w:p w:rsidR="000768CC" w:rsidRDefault="000768CC" w:rsidP="00B64C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8CC" w:rsidRDefault="000768CC" w:rsidP="00B64CDA">
      <w:pPr>
        <w:spacing w:after="0" w:line="240" w:lineRule="auto"/>
      </w:pPr>
      <w:r>
        <w:separator/>
      </w:r>
    </w:p>
  </w:footnote>
  <w:footnote w:type="continuationSeparator" w:id="1">
    <w:p w:rsidR="000768CC" w:rsidRDefault="000768CC" w:rsidP="00B64C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DA" w:rsidRPr="00B64CDA" w:rsidRDefault="00B64CDA" w:rsidP="00B64CDA">
    <w:pPr>
      <w:pStyle w:val="Header"/>
      <w:rPr>
        <w:rFonts w:ascii="Times New Roman" w:hAnsi="Times New Roman" w:cs="Times New Roman"/>
        <w:sz w:val="24"/>
        <w:szCs w:val="24"/>
      </w:rPr>
    </w:pPr>
  </w:p>
  <w:p w:rsidR="00B64CDA" w:rsidRPr="00B64CDA" w:rsidRDefault="00B64CD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DA" w:rsidRPr="00B64CDA" w:rsidRDefault="00B64CDA" w:rsidP="00B64CDA">
    <w:pPr>
      <w:pStyle w:val="Header"/>
      <w:rPr>
        <w:rFonts w:ascii="Times New Roman" w:hAnsi="Times New Roman" w:cs="Times New Roman"/>
        <w:sz w:val="24"/>
        <w:szCs w:val="24"/>
      </w:rPr>
    </w:pPr>
  </w:p>
  <w:p w:rsidR="00B64CDA" w:rsidRPr="00B64CDA" w:rsidRDefault="00B64CDA" w:rsidP="00B64CDA">
    <w:pPr>
      <w:pStyle w:val="Header"/>
      <w:rPr>
        <w:rFonts w:ascii="Times New Roman" w:hAnsi="Times New Roman" w:cs="Times New Roman"/>
        <w:sz w:val="24"/>
        <w:szCs w:val="24"/>
      </w:rPr>
    </w:pPr>
  </w:p>
  <w:p w:rsidR="00B64CDA" w:rsidRDefault="00B64C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94FE1"/>
    <w:rsid w:val="000176E8"/>
    <w:rsid w:val="000768CC"/>
    <w:rsid w:val="0009620C"/>
    <w:rsid w:val="00143963"/>
    <w:rsid w:val="001A3E0F"/>
    <w:rsid w:val="0020218B"/>
    <w:rsid w:val="0022159A"/>
    <w:rsid w:val="00232BD3"/>
    <w:rsid w:val="00341F34"/>
    <w:rsid w:val="003539B5"/>
    <w:rsid w:val="0036352E"/>
    <w:rsid w:val="003E62F0"/>
    <w:rsid w:val="003F245D"/>
    <w:rsid w:val="00491010"/>
    <w:rsid w:val="004D28A2"/>
    <w:rsid w:val="00635356"/>
    <w:rsid w:val="006C5F1E"/>
    <w:rsid w:val="006D2ACF"/>
    <w:rsid w:val="007D5E71"/>
    <w:rsid w:val="00894FE1"/>
    <w:rsid w:val="008A3B95"/>
    <w:rsid w:val="00952880"/>
    <w:rsid w:val="009B069F"/>
    <w:rsid w:val="00AB114F"/>
    <w:rsid w:val="00AE11F0"/>
    <w:rsid w:val="00AF02F7"/>
    <w:rsid w:val="00B64CDA"/>
    <w:rsid w:val="00BB59A5"/>
    <w:rsid w:val="00C72737"/>
    <w:rsid w:val="00CE0673"/>
    <w:rsid w:val="00DB5F9F"/>
    <w:rsid w:val="00EB5C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FE1"/>
    <w:rPr>
      <w:color w:val="0563C1" w:themeColor="hyperlink"/>
      <w:u w:val="single"/>
    </w:rPr>
  </w:style>
  <w:style w:type="character" w:styleId="FollowedHyperlink">
    <w:name w:val="FollowedHyperlink"/>
    <w:basedOn w:val="DefaultParagraphFont"/>
    <w:uiPriority w:val="99"/>
    <w:semiHidden/>
    <w:unhideWhenUsed/>
    <w:rsid w:val="00BB59A5"/>
    <w:rPr>
      <w:color w:val="954F72" w:themeColor="followedHyperlink"/>
      <w:u w:val="single"/>
    </w:rPr>
  </w:style>
  <w:style w:type="paragraph" w:styleId="Header">
    <w:name w:val="header"/>
    <w:basedOn w:val="Normal"/>
    <w:link w:val="HeaderChar"/>
    <w:uiPriority w:val="99"/>
    <w:unhideWhenUsed/>
    <w:rsid w:val="00B64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CDA"/>
  </w:style>
  <w:style w:type="paragraph" w:styleId="Footer">
    <w:name w:val="footer"/>
    <w:basedOn w:val="Normal"/>
    <w:link w:val="FooterChar"/>
    <w:uiPriority w:val="99"/>
    <w:unhideWhenUsed/>
    <w:rsid w:val="00B64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C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RUIZ</dc:creator>
  <cp:lastModifiedBy>ADM</cp:lastModifiedBy>
  <cp:revision>3</cp:revision>
  <dcterms:created xsi:type="dcterms:W3CDTF">2020-07-06T06:03:00Z</dcterms:created>
  <dcterms:modified xsi:type="dcterms:W3CDTF">2020-07-06T06:03:00Z</dcterms:modified>
</cp:coreProperties>
</file>